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B467" w14:textId="77777777" w:rsidR="00EC0D49" w:rsidRDefault="00EC0D49" w:rsidP="00EC0D49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ИНФОРМИРОВАНИЯ ПОТРЕБИТЕЛЯ ОБ АВАРИЙНЫХ СИТУАЦИЯХ В РАСПРЕДЕЛИТЕЛЬНЫХ ЭЛЕКТРИЧЕСКИХ СЕТЯХ, РЕМОНТНЫХ И ПРОФИЛАКТИЧЕСКИХ РАБОТАХ</w:t>
      </w:r>
    </w:p>
    <w:p w14:paraId="259DD154" w14:textId="77777777" w:rsidR="00BC5C0B" w:rsidRPr="00B84481" w:rsidRDefault="00BC5C0B" w:rsidP="00BC5C0B">
      <w:pPr>
        <w:jc w:val="center"/>
        <w:rPr>
          <w:sz w:val="24"/>
          <w:szCs w:val="22"/>
        </w:rPr>
      </w:pPr>
      <w:r w:rsidRPr="00B84481">
        <w:rPr>
          <w:sz w:val="24"/>
          <w:szCs w:val="22"/>
        </w:rPr>
        <w:t>АО "Энергосервис Волги"</w:t>
      </w:r>
    </w:p>
    <w:p w14:paraId="06BFBB54" w14:textId="77777777" w:rsidR="00EC0D49" w:rsidRDefault="00EC0D49" w:rsidP="00EC0D49">
      <w:pPr>
        <w:jc w:val="center"/>
        <w:rPr>
          <w:b/>
        </w:rPr>
      </w:pPr>
    </w:p>
    <w:p w14:paraId="04823B2B" w14:textId="77777777" w:rsidR="00EC0D49" w:rsidRDefault="00EC0D49" w:rsidP="00EC0D49">
      <w:pPr>
        <w:jc w:val="center"/>
        <w:rPr>
          <w:color w:val="548DD4"/>
          <w:sz w:val="24"/>
        </w:rPr>
      </w:pPr>
      <w:r>
        <w:rPr>
          <w:color w:val="548DD4"/>
          <w:sz w:val="24"/>
        </w:rPr>
        <w:t>КОД 1.4. ИНФОРМИРОВАНИЕ ПОТРЕБИТЕЛЯ ОБ АВАРИЙНЫХ СИТУАЦИЯХ В РАСПРЕДЕЛИТЕЛЬНЫХ ЭЛЕКТРИЧЕСКИХ СЕТЯХ, РЕМОНТНЫХ И ПРОФИЛАКТИЧЕСКИХ РАБОТАХ</w:t>
      </w:r>
    </w:p>
    <w:p w14:paraId="13249633" w14:textId="77777777" w:rsidR="00EC0D49" w:rsidRDefault="00EC0D49" w:rsidP="00EC0D49">
      <w:pPr>
        <w:jc w:val="center"/>
        <w:rPr>
          <w:color w:val="548DD4"/>
          <w:sz w:val="24"/>
        </w:rPr>
      </w:pPr>
    </w:p>
    <w:p w14:paraId="7DA2D121" w14:textId="77777777" w:rsidR="00EC0D49" w:rsidRDefault="00EC0D49" w:rsidP="00EC0D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A3DDE70" w14:textId="77777777" w:rsidR="00EC0D49" w:rsidRDefault="00EC0D49" w:rsidP="00EC0D49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14:paraId="628B6DD7" w14:textId="77777777" w:rsidR="00EC0D49" w:rsidRDefault="00EC0D49" w:rsidP="00EC0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взимается.</w:t>
      </w:r>
    </w:p>
    <w:p w14:paraId="1A01B450" w14:textId="77777777" w:rsidR="00EC0D49" w:rsidRDefault="00EC0D49" w:rsidP="00EC0D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Заключенный с сетевой организацией договор об оказании услуги по передаче электрической энергии.</w:t>
      </w:r>
    </w:p>
    <w:p w14:paraId="4E6F276B" w14:textId="77777777" w:rsidR="00EC0D49" w:rsidRDefault="00EC0D49" w:rsidP="00EC0D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уведомление потребителей о введении аварийного ограничения режима потребления электрической энергии (мощности).</w:t>
      </w:r>
    </w:p>
    <w:p w14:paraId="19482338" w14:textId="77777777" w:rsidR="00EC0D49" w:rsidRDefault="00EC0D49" w:rsidP="00EC0D49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102"/>
        <w:gridCol w:w="2356"/>
        <w:gridCol w:w="2890"/>
        <w:gridCol w:w="1879"/>
        <w:gridCol w:w="1949"/>
        <w:gridCol w:w="2780"/>
      </w:tblGrid>
      <w:tr w:rsidR="00EC0D49" w14:paraId="3E5893DD" w14:textId="77777777" w:rsidTr="00B84481">
        <w:trPr>
          <w:tblHeader/>
        </w:trPr>
        <w:tc>
          <w:tcPr>
            <w:tcW w:w="166" w:type="pct"/>
            <w:shd w:val="clear" w:color="auto" w:fill="4F81BD"/>
          </w:tcPr>
          <w:p w14:paraId="7F7BCBAB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728" w:type="pct"/>
            <w:shd w:val="clear" w:color="auto" w:fill="4F81BD"/>
          </w:tcPr>
          <w:p w14:paraId="4B416564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816" w:type="pct"/>
            <w:shd w:val="clear" w:color="auto" w:fill="4F81BD"/>
          </w:tcPr>
          <w:p w14:paraId="26DB9A5A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1001" w:type="pct"/>
            <w:shd w:val="clear" w:color="auto" w:fill="4F81BD"/>
          </w:tcPr>
          <w:p w14:paraId="51BD2D2F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651" w:type="pct"/>
            <w:shd w:val="clear" w:color="auto" w:fill="4F81BD"/>
          </w:tcPr>
          <w:p w14:paraId="617B50A5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75" w:type="pct"/>
            <w:shd w:val="clear" w:color="auto" w:fill="4F81BD"/>
          </w:tcPr>
          <w:p w14:paraId="52D1AB59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63" w:type="pct"/>
            <w:shd w:val="clear" w:color="auto" w:fill="4F81BD"/>
          </w:tcPr>
          <w:p w14:paraId="50A75444" w14:textId="77777777" w:rsidR="00EC0D49" w:rsidRDefault="00EC0D4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EC0D49" w14:paraId="5D096249" w14:textId="77777777" w:rsidTr="00B84481">
        <w:tc>
          <w:tcPr>
            <w:tcW w:w="166" w:type="pct"/>
            <w:shd w:val="clear" w:color="auto" w:fill="auto"/>
          </w:tcPr>
          <w:p w14:paraId="672D52FC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28" w:type="pct"/>
            <w:shd w:val="clear" w:color="auto" w:fill="auto"/>
          </w:tcPr>
          <w:p w14:paraId="50D5753F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816" w:type="pct"/>
            <w:shd w:val="clear" w:color="auto" w:fill="auto"/>
          </w:tcPr>
          <w:p w14:paraId="27FFDAB7" w14:textId="77777777" w:rsidR="00EC0D49" w:rsidRDefault="00EC0D49" w:rsidP="00B84481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заданием филиала АО «СО ЕЭС» РДУ</w:t>
            </w:r>
          </w:p>
        </w:tc>
        <w:tc>
          <w:tcPr>
            <w:tcW w:w="1001" w:type="pct"/>
            <w:shd w:val="clear" w:color="auto" w:fill="auto"/>
          </w:tcPr>
          <w:p w14:paraId="1D765661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объёмов, места и времени действия ограничения</w:t>
            </w:r>
          </w:p>
        </w:tc>
        <w:tc>
          <w:tcPr>
            <w:tcW w:w="651" w:type="pct"/>
            <w:shd w:val="clear" w:color="auto" w:fill="auto"/>
          </w:tcPr>
          <w:p w14:paraId="5FDC8E0B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</w:tcPr>
          <w:p w14:paraId="2B422ECA" w14:textId="77777777" w:rsidR="00EC0D49" w:rsidRDefault="00EC0D49" w:rsidP="00B84481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позднее чем за 10 дней до начала очередного периода</w:t>
            </w:r>
          </w:p>
          <w:p w14:paraId="2509B95A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(период с 1 октября текущего года по 30 сентября следующего года)</w:t>
            </w:r>
          </w:p>
        </w:tc>
        <w:tc>
          <w:tcPr>
            <w:tcW w:w="963" w:type="pct"/>
            <w:shd w:val="clear" w:color="auto" w:fill="auto"/>
          </w:tcPr>
          <w:p w14:paraId="01186D7E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  <w:r>
              <w:rPr>
                <w:rStyle w:val="afa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14:paraId="212D2C4E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</w:t>
            </w:r>
            <w:r>
              <w:rPr>
                <w:sz w:val="22"/>
                <w:szCs w:val="22"/>
              </w:rPr>
              <w:lastRenderedPageBreak/>
              <w:t>противоаварийной автоматики</w:t>
            </w:r>
            <w:r>
              <w:rPr>
                <w:rStyle w:val="afa"/>
                <w:sz w:val="22"/>
                <w:szCs w:val="22"/>
              </w:rPr>
              <w:footnoteReference w:id="2"/>
            </w:r>
          </w:p>
        </w:tc>
      </w:tr>
      <w:tr w:rsidR="00EC0D49" w14:paraId="7C81B556" w14:textId="77777777" w:rsidTr="00B84481">
        <w:trPr>
          <w:trHeight w:val="1122"/>
        </w:trPr>
        <w:tc>
          <w:tcPr>
            <w:tcW w:w="166" w:type="pct"/>
            <w:shd w:val="clear" w:color="auto" w:fill="auto"/>
          </w:tcPr>
          <w:p w14:paraId="4C0C6778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lastRenderedPageBreak/>
              <w:t>2</w:t>
            </w:r>
          </w:p>
        </w:tc>
        <w:tc>
          <w:tcPr>
            <w:tcW w:w="728" w:type="pct"/>
            <w:shd w:val="clear" w:color="auto" w:fill="auto"/>
          </w:tcPr>
          <w:p w14:paraId="12EA39C4" w14:textId="77777777" w:rsidR="00EC0D49" w:rsidRDefault="00EC0D49" w:rsidP="00B8448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Доведение до сведения гарантирующих поставщиков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энергосбытовых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организаций) и их потребителей графиков аварийных ограничений</w:t>
            </w:r>
          </w:p>
        </w:tc>
        <w:tc>
          <w:tcPr>
            <w:tcW w:w="816" w:type="pct"/>
            <w:shd w:val="clear" w:color="auto" w:fill="auto"/>
          </w:tcPr>
          <w:p w14:paraId="3EB6DF82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tcW w:w="1001" w:type="pct"/>
            <w:shd w:val="clear" w:color="auto" w:fill="auto"/>
          </w:tcPr>
          <w:p w14:paraId="08A946C3" w14:textId="77777777" w:rsidR="00EC0D49" w:rsidRDefault="00EC0D49" w:rsidP="00B8448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энергосбытовых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организаций) и их потребителей</w:t>
            </w:r>
          </w:p>
        </w:tc>
        <w:tc>
          <w:tcPr>
            <w:tcW w:w="651" w:type="pct"/>
            <w:shd w:val="clear" w:color="auto" w:fill="auto"/>
          </w:tcPr>
          <w:p w14:paraId="610C53B8" w14:textId="66FCB3E4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675" w:type="pct"/>
            <w:shd w:val="clear" w:color="auto" w:fill="auto"/>
          </w:tcPr>
          <w:p w14:paraId="30F4B27B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за 7 календарных дней до начала очередного периода их действия</w:t>
            </w:r>
          </w:p>
        </w:tc>
        <w:tc>
          <w:tcPr>
            <w:tcW w:w="963" w:type="pct"/>
            <w:shd w:val="clear" w:color="auto" w:fill="auto"/>
          </w:tcPr>
          <w:p w14:paraId="366FDD18" w14:textId="77777777" w:rsidR="00EC0D49" w:rsidRDefault="00EC0D49" w:rsidP="00B8448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п.24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</w:p>
        </w:tc>
      </w:tr>
      <w:tr w:rsidR="00EC0D49" w14:paraId="4C8FA04B" w14:textId="77777777" w:rsidTr="00B84481">
        <w:trPr>
          <w:trHeight w:val="673"/>
        </w:trPr>
        <w:tc>
          <w:tcPr>
            <w:tcW w:w="166" w:type="pct"/>
            <w:shd w:val="clear" w:color="auto" w:fill="auto"/>
          </w:tcPr>
          <w:p w14:paraId="1716995C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728" w:type="pct"/>
            <w:shd w:val="clear" w:color="auto" w:fill="auto"/>
          </w:tcPr>
          <w:p w14:paraId="59060E4D" w14:textId="77777777" w:rsidR="00EC0D49" w:rsidRDefault="00EC0D49" w:rsidP="00B84481">
            <w:pPr>
              <w:autoSpaceDE w:val="0"/>
              <w:autoSpaceDN w:val="0"/>
              <w:adjustRightInd w:val="0"/>
              <w:ind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816" w:type="pct"/>
            <w:shd w:val="clear" w:color="auto" w:fill="auto"/>
          </w:tcPr>
          <w:p w14:paraId="585F7C6F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tcW w:w="1001" w:type="pct"/>
            <w:shd w:val="clear" w:color="auto" w:fill="auto"/>
          </w:tcPr>
          <w:p w14:paraId="62358DB5" w14:textId="77777777" w:rsidR="00EC0D49" w:rsidRPr="007304C6" w:rsidRDefault="00EC0D49" w:rsidP="00B84481">
            <w:pPr>
              <w:jc w:val="center"/>
              <w:rPr>
                <w:sz w:val="22"/>
                <w:szCs w:val="22"/>
              </w:rPr>
            </w:pPr>
            <w:r w:rsidRPr="007304C6">
              <w:rPr>
                <w:sz w:val="22"/>
              </w:rPr>
              <w:t>Ответственное структурное подразделение   (Департамент оперативно-технологического и ситуационного управления) направляет утвержденные графики аварийного ограничения</w:t>
            </w:r>
            <w:r w:rsidRPr="007304C6">
              <w:rPr>
                <w:sz w:val="22"/>
                <w:szCs w:val="24"/>
              </w:rPr>
              <w:t xml:space="preserve">  в </w:t>
            </w:r>
            <w:r w:rsidRPr="007304C6">
              <w:rPr>
                <w:sz w:val="22"/>
              </w:rPr>
              <w:t>Департамент по связям с общественностью для публикации на сайте в сети «Интернет»</w:t>
            </w:r>
          </w:p>
        </w:tc>
        <w:tc>
          <w:tcPr>
            <w:tcW w:w="651" w:type="pct"/>
            <w:shd w:val="clear" w:color="auto" w:fill="auto"/>
          </w:tcPr>
          <w:p w14:paraId="3B8A3B5C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форма публикации</w:t>
            </w:r>
          </w:p>
        </w:tc>
        <w:tc>
          <w:tcPr>
            <w:tcW w:w="675" w:type="pct"/>
            <w:shd w:val="clear" w:color="auto" w:fill="auto"/>
          </w:tcPr>
          <w:p w14:paraId="411413C2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10 рабочих дней после утверждения</w:t>
            </w:r>
          </w:p>
        </w:tc>
        <w:tc>
          <w:tcPr>
            <w:tcW w:w="963" w:type="pct"/>
            <w:shd w:val="clear" w:color="auto" w:fill="auto"/>
          </w:tcPr>
          <w:p w14:paraId="3A46E36D" w14:textId="77777777" w:rsidR="00EC0D49" w:rsidRDefault="00EC0D49" w:rsidP="00B84481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EC0D49" w14:paraId="501E71C0" w14:textId="77777777" w:rsidTr="00B84481">
        <w:trPr>
          <w:trHeight w:val="1122"/>
        </w:trPr>
        <w:tc>
          <w:tcPr>
            <w:tcW w:w="166" w:type="pct"/>
            <w:shd w:val="clear" w:color="auto" w:fill="auto"/>
          </w:tcPr>
          <w:p w14:paraId="3D0532F7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728" w:type="pct"/>
            <w:shd w:val="clear" w:color="auto" w:fill="auto"/>
          </w:tcPr>
          <w:p w14:paraId="06507E22" w14:textId="771C7F4E" w:rsidR="00BC5C0B" w:rsidRPr="00CE74D4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Введение полного и (или) частичного ограничения при проведении ремонтных работ </w:t>
            </w:r>
            <w:r w:rsidR="00016D19">
              <w:rPr>
                <w:rFonts w:eastAsia="Calibri"/>
                <w:sz w:val="22"/>
                <w:szCs w:val="22"/>
                <w:lang w:eastAsia="en-US"/>
              </w:rPr>
              <w:t>на объектах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электросетевого хозяйства </w:t>
            </w:r>
            <w:r w:rsidR="00BC5C0B">
              <w:rPr>
                <w:sz w:val="22"/>
                <w:szCs w:val="22"/>
              </w:rPr>
              <w:t xml:space="preserve">АО </w:t>
            </w:r>
            <w:r w:rsidR="00BC5C0B" w:rsidRPr="00CE74D4">
              <w:rPr>
                <w:sz w:val="22"/>
                <w:szCs w:val="22"/>
              </w:rPr>
              <w:t>"Энергосервис Волги"</w:t>
            </w:r>
          </w:p>
          <w:p w14:paraId="0B80FFC8" w14:textId="032039A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pct"/>
            <w:shd w:val="clear" w:color="auto" w:fill="auto"/>
          </w:tcPr>
          <w:p w14:paraId="6EE14B29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tcW w:w="1001" w:type="pct"/>
            <w:shd w:val="clear" w:color="auto" w:fill="auto"/>
          </w:tcPr>
          <w:p w14:paraId="540D43E0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548DD4"/>
                <w:sz w:val="22"/>
                <w:szCs w:val="22"/>
              </w:rPr>
              <w:t>4.1.</w:t>
            </w:r>
            <w:r>
              <w:rPr>
                <w:color w:val="548DD4"/>
                <w:sz w:val="22"/>
                <w:szCs w:val="22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14:paraId="1BF1DC71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4.2.</w:t>
            </w:r>
            <w:r>
              <w:rPr>
                <w:color w:val="548DD4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  <w:lang w:eastAsia="en-US"/>
              </w:rPr>
              <w:t>ывод в ремонт объекта электросетевого хозяйства</w:t>
            </w:r>
          </w:p>
        </w:tc>
        <w:tc>
          <w:tcPr>
            <w:tcW w:w="651" w:type="pct"/>
            <w:shd w:val="clear" w:color="auto" w:fill="auto"/>
          </w:tcPr>
          <w:p w14:paraId="28A29C64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75" w:type="pct"/>
            <w:shd w:val="clear" w:color="auto" w:fill="auto"/>
          </w:tcPr>
          <w:p w14:paraId="01566ACB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заключенных договоров оказания услуг по передаче электроэнергии</w:t>
            </w:r>
            <w:r>
              <w:rPr>
                <w:rFonts w:eastAsia="Calibri"/>
                <w:sz w:val="22"/>
                <w:szCs w:val="22"/>
                <w:highlight w:val="green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до включения или подачи предложения о включении </w:t>
            </w:r>
            <w:r>
              <w:t xml:space="preserve">в </w:t>
            </w:r>
            <w:r w:rsidRPr="00016D19">
              <w:rPr>
                <w:sz w:val="22"/>
              </w:rPr>
              <w:t>сводный годовой или месячный график ремонта объектов вывода в ремонт которых невозможен без ограничения режима потребления</w:t>
            </w:r>
            <w:r>
              <w:t>.</w:t>
            </w:r>
          </w:p>
        </w:tc>
        <w:tc>
          <w:tcPr>
            <w:tcW w:w="963" w:type="pct"/>
            <w:shd w:val="clear" w:color="auto" w:fill="auto"/>
          </w:tcPr>
          <w:p w14:paraId="6B4BA5A4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30, 33  Правил полного и (или) частичного ограничения режима потребления электрической энергии</w:t>
            </w:r>
          </w:p>
        </w:tc>
      </w:tr>
      <w:tr w:rsidR="00EC0D49" w14:paraId="6DEA7C71" w14:textId="77777777" w:rsidTr="00B84481">
        <w:trPr>
          <w:trHeight w:val="1122"/>
        </w:trPr>
        <w:tc>
          <w:tcPr>
            <w:tcW w:w="166" w:type="pct"/>
            <w:shd w:val="clear" w:color="auto" w:fill="auto"/>
          </w:tcPr>
          <w:p w14:paraId="3AFEAACB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728" w:type="pct"/>
            <w:shd w:val="clear" w:color="auto" w:fill="auto"/>
          </w:tcPr>
          <w:p w14:paraId="56EAF1A1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816" w:type="pct"/>
            <w:shd w:val="clear" w:color="auto" w:fill="auto"/>
          </w:tcPr>
          <w:p w14:paraId="0E449D0F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tcW w:w="1001" w:type="pct"/>
            <w:shd w:val="clear" w:color="auto" w:fill="auto"/>
          </w:tcPr>
          <w:p w14:paraId="794A0DAE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Уведомление потребителя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14:paraId="28FBC61F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651" w:type="pct"/>
            <w:shd w:val="clear" w:color="auto" w:fill="auto"/>
          </w:tcPr>
          <w:p w14:paraId="5DEC5B1E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75" w:type="pct"/>
            <w:shd w:val="clear" w:color="auto" w:fill="auto"/>
          </w:tcPr>
          <w:p w14:paraId="4F706F28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963" w:type="pct"/>
            <w:shd w:val="clear" w:color="auto" w:fill="auto"/>
          </w:tcPr>
          <w:p w14:paraId="27652288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EC0D49" w14:paraId="754C626B" w14:textId="77777777" w:rsidTr="00B84481">
        <w:trPr>
          <w:trHeight w:val="1122"/>
        </w:trPr>
        <w:tc>
          <w:tcPr>
            <w:tcW w:w="166" w:type="pct"/>
            <w:shd w:val="clear" w:color="auto" w:fill="auto"/>
          </w:tcPr>
          <w:p w14:paraId="57B4EE5D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</w:t>
            </w:r>
          </w:p>
        </w:tc>
        <w:tc>
          <w:tcPr>
            <w:tcW w:w="728" w:type="pct"/>
            <w:shd w:val="clear" w:color="auto" w:fill="auto"/>
          </w:tcPr>
          <w:p w14:paraId="5329549A" w14:textId="41ED1292" w:rsidR="00EC0D49" w:rsidRDefault="00EC0D49" w:rsidP="00B84481">
            <w:pPr>
              <w:autoSpaceDE w:val="0"/>
              <w:autoSpaceDN w:val="0"/>
              <w:adjustRightInd w:val="0"/>
              <w:ind w:left="-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Введение ограничения режима потребления по графикам ограничения режима потребления</w:t>
            </w:r>
          </w:p>
        </w:tc>
        <w:tc>
          <w:tcPr>
            <w:tcW w:w="816" w:type="pct"/>
            <w:shd w:val="clear" w:color="auto" w:fill="auto"/>
          </w:tcPr>
          <w:p w14:paraId="739F8A95" w14:textId="7777777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tcW w:w="1001" w:type="pct"/>
            <w:shd w:val="clear" w:color="auto" w:fill="auto"/>
          </w:tcPr>
          <w:p w14:paraId="4A9472E2" w14:textId="77777777" w:rsidR="00EC0D49" w:rsidRDefault="00EC0D49" w:rsidP="00B84481">
            <w:pPr>
              <w:pStyle w:val="af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548DD4"/>
                <w:sz w:val="22"/>
                <w:szCs w:val="22"/>
                <w:lang w:eastAsia="en-US"/>
              </w:rPr>
              <w:t>6.1.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14:paraId="3C083293" w14:textId="77777777" w:rsidR="00EC0D49" w:rsidRDefault="00EC0D49" w:rsidP="00B84481">
            <w:pPr>
              <w:jc w:val="center"/>
              <w:rPr>
                <w:b/>
                <w:color w:val="548DD4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6.2.</w:t>
            </w:r>
            <w:r>
              <w:rPr>
                <w:rFonts w:eastAsia="Calibri"/>
                <w:sz w:val="22"/>
                <w:szCs w:val="22"/>
                <w:lang w:eastAsia="en-US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651" w:type="pct"/>
            <w:shd w:val="clear" w:color="auto" w:fill="auto"/>
          </w:tcPr>
          <w:p w14:paraId="21890F84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75" w:type="pct"/>
            <w:shd w:val="clear" w:color="auto" w:fill="auto"/>
          </w:tcPr>
          <w:p w14:paraId="2224F3D3" w14:textId="3EEE37D7" w:rsidR="00EC0D49" w:rsidRDefault="00EC0D49" w:rsidP="00B84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Начиная с 00 часов 00 минут следующих суток, с уведомлением потребителя не позднее 14 часов 00 минут следующих суток (по местному времени)</w:t>
            </w:r>
          </w:p>
        </w:tc>
        <w:tc>
          <w:tcPr>
            <w:tcW w:w="963" w:type="pct"/>
            <w:shd w:val="clear" w:color="auto" w:fill="auto"/>
          </w:tcPr>
          <w:p w14:paraId="7EAABA51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14:paraId="76BABF5E" w14:textId="53E113E9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34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EC0D49" w14:paraId="1C72392A" w14:textId="77777777" w:rsidTr="00B84481">
        <w:trPr>
          <w:trHeight w:val="1122"/>
        </w:trPr>
        <w:tc>
          <w:tcPr>
            <w:tcW w:w="166" w:type="pct"/>
            <w:shd w:val="clear" w:color="auto" w:fill="auto"/>
          </w:tcPr>
          <w:p w14:paraId="0E68AB05" w14:textId="77777777" w:rsidR="00EC0D49" w:rsidRDefault="00EC0D4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</w:t>
            </w:r>
          </w:p>
        </w:tc>
        <w:tc>
          <w:tcPr>
            <w:tcW w:w="728" w:type="pct"/>
            <w:shd w:val="clear" w:color="auto" w:fill="auto"/>
          </w:tcPr>
          <w:p w14:paraId="607593F0" w14:textId="77777777" w:rsidR="00EC0D49" w:rsidRDefault="00EC0D49" w:rsidP="00B84481">
            <w:pPr>
              <w:autoSpaceDE w:val="0"/>
              <w:autoSpaceDN w:val="0"/>
              <w:adjustRightInd w:val="0"/>
              <w:ind w:left="-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816" w:type="pct"/>
            <w:shd w:val="clear" w:color="auto" w:fill="auto"/>
          </w:tcPr>
          <w:p w14:paraId="19B95613" w14:textId="0691C6FB" w:rsidR="00EC0D49" w:rsidRDefault="00EC0D49" w:rsidP="00B84481">
            <w:pPr>
              <w:autoSpaceDE w:val="0"/>
              <w:autoSpaceDN w:val="0"/>
              <w:adjustRightInd w:val="0"/>
              <w:ind w:hanging="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</w:t>
            </w:r>
          </w:p>
        </w:tc>
        <w:tc>
          <w:tcPr>
            <w:tcW w:w="1001" w:type="pct"/>
            <w:shd w:val="clear" w:color="auto" w:fill="auto"/>
          </w:tcPr>
          <w:p w14:paraId="7627E25A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7.1.</w:t>
            </w:r>
            <w:r>
              <w:rPr>
                <w:color w:val="548DD4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Введение временного отключения</w:t>
            </w:r>
          </w:p>
          <w:p w14:paraId="73239386" w14:textId="77777777" w:rsidR="00EC0D49" w:rsidRDefault="00EC0D49" w:rsidP="00B84481">
            <w:pPr>
              <w:jc w:val="center"/>
              <w:rPr>
                <w:b/>
                <w:color w:val="548DD4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7.2.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Оповещение потребителя о введении временного отключения</w:t>
            </w:r>
          </w:p>
        </w:tc>
        <w:tc>
          <w:tcPr>
            <w:tcW w:w="651" w:type="pct"/>
            <w:shd w:val="clear" w:color="auto" w:fill="auto"/>
          </w:tcPr>
          <w:p w14:paraId="36DF6D32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</w:tcPr>
          <w:p w14:paraId="346CF832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предварительного уведомления, с незамедлительным оповещением  после введения временного отключения</w:t>
            </w:r>
          </w:p>
        </w:tc>
        <w:tc>
          <w:tcPr>
            <w:tcW w:w="963" w:type="pct"/>
            <w:shd w:val="clear" w:color="auto" w:fill="auto"/>
          </w:tcPr>
          <w:p w14:paraId="537A789E" w14:textId="77777777" w:rsidR="00EC0D49" w:rsidRDefault="00EC0D49" w:rsidP="00B84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«б» пункта 35 Правил полного и (или) частичного ограничения режима потребления электрической энергии. Пункты 38, 39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</w:tr>
    </w:tbl>
    <w:p w14:paraId="209287A9" w14:textId="77777777" w:rsidR="00BC5C0B" w:rsidRDefault="00BC5C0B" w:rsidP="00EC0D49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14:paraId="0A71DBF1" w14:textId="77777777" w:rsidR="00E94086" w:rsidRDefault="00E94086" w:rsidP="0087255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4D0F6C50" w14:textId="77777777" w:rsidR="00E94086" w:rsidRPr="003740B8" w:rsidRDefault="00E94086" w:rsidP="008725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5566">
        <w:rPr>
          <w:sz w:val="24"/>
          <w:szCs w:val="24"/>
        </w:rPr>
        <w:t xml:space="preserve">Номер телефонного центра обслуживания </w:t>
      </w:r>
      <w:r w:rsidRPr="00005566">
        <w:rPr>
          <w:iCs/>
          <w:sz w:val="24"/>
          <w:szCs w:val="24"/>
        </w:rPr>
        <w:t>АО «Энергосервис Волги»:</w:t>
      </w:r>
      <w:r>
        <w:rPr>
          <w:iCs/>
          <w:sz w:val="22"/>
          <w:szCs w:val="22"/>
        </w:rPr>
        <w:t xml:space="preserve"> </w:t>
      </w:r>
      <w:r w:rsidRPr="003740B8">
        <w:rPr>
          <w:color w:val="4472C4" w:themeColor="accent5"/>
          <w:sz w:val="24"/>
          <w:szCs w:val="24"/>
        </w:rPr>
        <w:t>8(8452)320-324</w:t>
      </w:r>
    </w:p>
    <w:p w14:paraId="63BB2901" w14:textId="77777777" w:rsidR="00E94086" w:rsidRDefault="00E94086" w:rsidP="008725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5566">
        <w:rPr>
          <w:sz w:val="24"/>
          <w:szCs w:val="24"/>
        </w:rPr>
        <w:t xml:space="preserve">Адрес электронной почты </w:t>
      </w:r>
      <w:r w:rsidRPr="00005566">
        <w:rPr>
          <w:iCs/>
          <w:sz w:val="24"/>
          <w:szCs w:val="24"/>
        </w:rPr>
        <w:t>АО «Энергосервис Волги»</w:t>
      </w:r>
      <w:r w:rsidRPr="00005566">
        <w:rPr>
          <w:sz w:val="24"/>
          <w:szCs w:val="24"/>
        </w:rPr>
        <w:t xml:space="preserve">: 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740B8">
        <w:rPr>
          <w:b/>
          <w:color w:val="4472C4" w:themeColor="accent5"/>
          <w:sz w:val="24"/>
          <w:szCs w:val="24"/>
        </w:rPr>
        <w:t>-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740B8">
        <w:rPr>
          <w:b/>
          <w:color w:val="4472C4" w:themeColor="accent5"/>
          <w:sz w:val="24"/>
          <w:szCs w:val="24"/>
        </w:rPr>
        <w:t>@</w:t>
      </w:r>
      <w:r w:rsidRPr="003740B8">
        <w:rPr>
          <w:b/>
          <w:color w:val="4472C4" w:themeColor="accent5"/>
          <w:sz w:val="24"/>
          <w:szCs w:val="24"/>
          <w:lang w:val="en-US"/>
        </w:rPr>
        <w:t>mail</w:t>
      </w:r>
      <w:r w:rsidRPr="003740B8">
        <w:rPr>
          <w:b/>
          <w:color w:val="4472C4" w:themeColor="accent5"/>
          <w:sz w:val="24"/>
          <w:szCs w:val="24"/>
        </w:rPr>
        <w:t>.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1E20F371" w14:textId="77777777" w:rsidR="00E94086" w:rsidRDefault="00E94086" w:rsidP="0087255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14:paraId="7669F62C" w14:textId="77777777" w:rsidR="006B5FD2" w:rsidRPr="00A32EE6" w:rsidRDefault="006B5FD2" w:rsidP="006B5FD2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1D97C98B" w14:textId="635A5B9F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79D9FA" w14:textId="0E4D80EE" w:rsidR="00E94086" w:rsidRDefault="00E94086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57E162" w14:textId="4383FF97" w:rsidR="00E94086" w:rsidRDefault="00E94086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F118AD" w14:textId="01AE9094" w:rsidR="00E94086" w:rsidRDefault="00E94086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ED3FDB" w14:textId="574CA5D7" w:rsidR="00E94086" w:rsidRDefault="00E94086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83093D" w14:textId="65D764D3" w:rsidR="00E94086" w:rsidRDefault="00E94086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5D0615" w14:textId="109CBCEB" w:rsidR="00E94086" w:rsidRDefault="00E94086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4B865F" w14:textId="6D8A4350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4547D3" w14:textId="6539483A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94C078" w14:textId="5EA0270E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0736CD" w14:textId="5C774F9A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35B144" w14:textId="75BEDDDB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521179" w14:textId="3B98E9EF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533A4E" w14:textId="75FE0A2D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D958C2" w14:textId="7C8ED061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DD1B8B" w14:textId="43CF8353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EDE09F" w14:textId="2E821638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9B269A" w14:textId="5134DDD9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10D58F" w14:textId="0097B8E3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9C9E54" w14:textId="77777777" w:rsidR="00EC0D49" w:rsidRDefault="00EC0D49" w:rsidP="00EC0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2DAC81" w14:textId="6A441EBD" w:rsidR="00B00C94" w:rsidRPr="00BC5C0B" w:rsidRDefault="00EC0D49" w:rsidP="00BC5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06.06.2013 №290</w:t>
      </w:r>
    </w:p>
    <w:sectPr w:rsidR="00B00C94" w:rsidRPr="00BC5C0B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17B6DD97" w14:textId="77777777" w:rsidR="00EC0D49" w:rsidRDefault="00EC0D49" w:rsidP="00EC0D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Style w:val="afa"/>
        </w:rPr>
        <w:footnoteRef/>
      </w:r>
      <w:r>
        <w:t xml:space="preserve"> Правила полного и (или) частичного ограничения режима потребления электрической энергии, утвержденные Постановление Правительства РФ от 04.05.2012 N 442</w:t>
      </w:r>
    </w:p>
  </w:footnote>
  <w:footnote w:id="2">
    <w:p w14:paraId="5D5FA306" w14:textId="77777777" w:rsidR="00EC0D49" w:rsidRDefault="00EC0D49" w:rsidP="00EC0D49">
      <w:pPr>
        <w:pStyle w:val="afb"/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12E65DF2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E622B1">
      <w:rPr>
        <w:rStyle w:val="ab"/>
        <w:noProof/>
        <w:color w:val="FFFFFF"/>
      </w:rPr>
      <w:t>5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5566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6D19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75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1BC0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5FD2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6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55D"/>
    <w:rsid w:val="00872769"/>
    <w:rsid w:val="00873753"/>
    <w:rsid w:val="00874984"/>
    <w:rsid w:val="00876111"/>
    <w:rsid w:val="00876A19"/>
    <w:rsid w:val="008770A7"/>
    <w:rsid w:val="008775EC"/>
    <w:rsid w:val="00877630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481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C0B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2B1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086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0D49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7E4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79A0-D8CD-4C51-AF8A-4F4A59BE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953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8102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15</cp:revision>
  <cp:lastPrinted>2019-05-31T03:35:00Z</cp:lastPrinted>
  <dcterms:created xsi:type="dcterms:W3CDTF">2019-06-03T06:09:00Z</dcterms:created>
  <dcterms:modified xsi:type="dcterms:W3CDTF">2025-02-10T11:05:00Z</dcterms:modified>
</cp:coreProperties>
</file>