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Pr="00E52270" w:rsidRDefault="002B2223" w:rsidP="005771D2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6C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C369C0" w:rsidRDefault="006C5E0E" w:rsidP="006C5E0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E0E">
        <w:rPr>
          <w:rFonts w:ascii="Times New Roman" w:hAnsi="Times New Roman" w:cs="Times New Roman"/>
          <w:sz w:val="24"/>
          <w:szCs w:val="24"/>
        </w:rPr>
        <w:t xml:space="preserve">Заказчик, являющийся </w:t>
      </w:r>
      <w:r w:rsidR="00735CBC" w:rsidRPr="00C369C0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35CBC" w:rsidRPr="00C369C0">
        <w:rPr>
          <w:rFonts w:ascii="Times New Roman" w:hAnsi="Times New Roman" w:cs="Times New Roman"/>
          <w:sz w:val="24"/>
          <w:szCs w:val="24"/>
        </w:rPr>
        <w:t xml:space="preserve"> </w:t>
      </w:r>
      <w:r w:rsidRPr="003A1321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Волги», Россия, 4100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г. Саратов, ул.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Космонавтов</w:t>
      </w:r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(почтовый адрес: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410002, г. Саратов, ул. Набережная Космонавтов, д. 7 А</w:t>
      </w:r>
      <w:r w:rsidR="00E52270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6C5E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юридических лиц, индивидуальных предпринимателей, физических лиц (далее – подрядчики, участник закупки)</w:t>
      </w:r>
      <w:r w:rsidR="00735CBC" w:rsidRPr="00C369C0">
        <w:t xml:space="preserve"> 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="00735CBC" w:rsidRPr="00C3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735CBC" w:rsidRPr="00C3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735CBC" w:rsidRPr="00C36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предложений</w:t>
      </w:r>
      <w:r w:rsidR="00735CBC"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</w:t>
      </w:r>
      <w:r w:rsidR="007D2B64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поставку, монтаж и гарантийное обслуживание оборудования в </w:t>
      </w:r>
      <w:proofErr w:type="spellStart"/>
      <w:r w:rsidR="00735CBC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Атяшевском</w:t>
      </w:r>
      <w:proofErr w:type="spellEnd"/>
      <w:r w:rsidR="00735CBC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proofErr w:type="spellStart"/>
      <w:r w:rsidR="00735CBC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Атяшевского</w:t>
      </w:r>
      <w:proofErr w:type="spellEnd"/>
      <w:r w:rsidR="00735CBC" w:rsidRPr="00C3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Республики Мордовия.</w:t>
      </w:r>
    </w:p>
    <w:p w:rsidR="00E52270" w:rsidRPr="008C2A7A" w:rsidRDefault="00C522C7" w:rsidP="00DC28B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Документация о закупке и настоящее Извещение, являющееся неотъемлемой частью Документации о закупке, опубликованы на официальном сайте</w:t>
      </w:r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val="en-US" w:eastAsia="ru-RU"/>
          </w:rPr>
          <w:t>www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eastAsia="ru-RU"/>
          </w:rPr>
          <w:t>.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val="en-US" w:eastAsia="ru-RU"/>
          </w:rPr>
          <w:t>zakupki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eastAsia="ru-RU"/>
          </w:rPr>
          <w:t>.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val="en-US" w:eastAsia="ru-RU"/>
          </w:rPr>
          <w:t>gov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eastAsia="ru-RU"/>
          </w:rPr>
          <w:t>.</w:t>
        </w:r>
        <w:r w:rsidR="00C369C0" w:rsidRPr="00C369C0">
          <w:rPr>
            <w:rFonts w:ascii="Times New Roman" w:eastAsia="Times New Roman" w:hAnsi="Times New Roman" w:cs="Times New Roman"/>
            <w:bCs/>
            <w:snapToGrid w:val="0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сайте Заказчика </w:t>
      </w:r>
      <w:hyperlink r:id="rId8" w:history="1">
        <w:r w:rsidR="00C369C0" w:rsidRPr="005771D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ЭТП </w:t>
      </w:r>
      <w:hyperlink r:id="rId9" w:history="1"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36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369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чем за </w:t>
      </w:r>
      <w:r w:rsidR="008C04F8"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369C0">
        <w:t xml:space="preserve"> </w:t>
      </w:r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срока подачи заявок.</w:t>
      </w:r>
    </w:p>
    <w:p w:rsidR="008C2A7A" w:rsidRDefault="008C2A7A" w:rsidP="00DC28B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закупки проводится с использованием электронной торговой площадки сети Интернет </w:t>
      </w:r>
      <w:hyperlink r:id="rId10" w:history="1"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otc</w:t>
        </w:r>
        <w:proofErr w:type="spellEnd"/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tender</w:t>
        </w:r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8C2A7A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8C2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соответствии с правилами и регламентами её функционирования.</w:t>
      </w:r>
    </w:p>
    <w:p w:rsidR="003A2217" w:rsidRPr="003A2217" w:rsidRDefault="003A2217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</w:t>
      </w:r>
      <w:r w:rsidRPr="00577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открытому запросу предложений</w:t>
      </w:r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размещена на официальном сайте </w:t>
      </w:r>
      <w:hyperlink r:id="rId11" w:history="1"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12" w:history="1"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71D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5771D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5771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также на официальном сайте АО «Энергосервис Волги» </w:t>
      </w:r>
      <w:hyperlink r:id="rId13" w:history="1">
        <w:r w:rsidRPr="005771D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5771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5771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Зубихин Сергей Анатольевич (</w:t>
      </w:r>
      <w:hyperlink r:id="rId14" w:history="1">
        <w:r w:rsidRPr="005771D2">
          <w:rPr>
            <w:rStyle w:val="a9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sa</w:t>
        </w:r>
        <w:r w:rsidRPr="005771D2">
          <w:rPr>
            <w:rStyle w:val="a9"/>
            <w:rFonts w:ascii="Times New Roman" w:eastAsia="Times New Roman" w:hAnsi="Times New Roman" w:cs="Times New Roman"/>
            <w:sz w:val="24"/>
            <w:szCs w:val="20"/>
            <w:lang w:eastAsia="ru-RU"/>
          </w:rPr>
          <w:t>.</w:t>
        </w:r>
        <w:r w:rsidRPr="005771D2">
          <w:rPr>
            <w:rStyle w:val="a9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zubihin</w:t>
        </w:r>
        <w:r w:rsidRPr="005771D2">
          <w:rPr>
            <w:rStyle w:val="a9"/>
            <w:rFonts w:ascii="Times New Roman" w:eastAsia="Times New Roman" w:hAnsi="Times New Roman" w:cs="Times New Roman"/>
            <w:sz w:val="24"/>
            <w:szCs w:val="20"/>
            <w:lang w:eastAsia="ru-RU"/>
          </w:rPr>
          <w:t>@mrsk-volgi.ru</w:t>
        </w:r>
      </w:hyperlink>
      <w:r w:rsidRPr="005771D2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FA45D6" w:rsidRPr="00FA45D6" w:rsidRDefault="00C522C7" w:rsidP="00012801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документации, размещенная на официальном сайте, доступна любому</w:t>
      </w:r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лицу. Любое лицо </w:t>
      </w:r>
      <w:proofErr w:type="gramStart"/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proofErr w:type="gramEnd"/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право получить документацию по своему письменному запросу в следующем порядке:</w:t>
      </w:r>
    </w:p>
    <w:p w:rsidR="00FA45D6" w:rsidRDefault="00C17E50" w:rsidP="00FA45D6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(скопирована на цифровой носитель Участника запроса предложений или его представителя) или в бумажном виде нарочным по адресу: </w:t>
      </w:r>
      <w:r w:rsidR="00E52270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>4100</w:t>
      </w:r>
      <w:r w:rsidR="00735CBC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52270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г. Саратов, ул. </w:t>
      </w:r>
      <w:r w:rsidR="00735CBC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Космонавтов</w:t>
      </w:r>
      <w:r w:rsidR="00E52270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735CBC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="00E52270"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со дня, следующего после дня официальной публикации настоящего Извещения и до момента вскрытия конвертов с заявками участников (ежедневно в рабочие дни с 9-00 до 11-00 и с 14-00 до 16-00 по московскому времени)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 w:rsidR="00C522C7" w:rsidRPr="00012801" w:rsidRDefault="00C17E50" w:rsidP="00FA45D6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</w:t>
      </w:r>
      <w:hyperlink r:id="rId15" w:history="1">
        <w:r w:rsidR="005771D2" w:rsidRPr="00FA45D6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</w:t>
        </w:r>
        <w:r w:rsidR="005771D2" w:rsidRPr="00FA45D6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771D2" w:rsidRPr="00FA45D6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zubihin</w:t>
        </w:r>
        <w:r w:rsidR="005771D2" w:rsidRPr="00FA45D6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@mrsk-volgi.ru</w:t>
        </w:r>
      </w:hyperlink>
      <w:r w:rsidRPr="000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электронного адреса Участника запроса предложений для отправки документации по запросу предложений;</w:t>
      </w:r>
    </w:p>
    <w:p w:rsidR="00DB2C58" w:rsidRPr="005771D2" w:rsidRDefault="00DB2C58" w:rsidP="00DC28B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условия заключаемого по результатам </w:t>
      </w:r>
      <w:r w:rsidR="00735CBC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открытого запроса предложений</w:t>
      </w:r>
      <w:r w:rsidRPr="0057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FA4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77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состоят в следующем:</w:t>
      </w:r>
    </w:p>
    <w:p w:rsidR="00C522C7" w:rsidRDefault="005771D2" w:rsidP="005E666A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должна быть указана с учетом всех налогов, страховых сборов, и прочих обязательных платежей.</w:t>
      </w:r>
      <w:r w:rsidR="005E666A" w:rsidRPr="005E666A">
        <w:t xml:space="preserve"> </w:t>
      </w:r>
      <w:r w:rsidR="005E666A"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вправе отклонить предложение участника, стоимость которого превышает предельную стоимость, указанную в данном пункте.</w:t>
      </w:r>
    </w:p>
    <w:p w:rsidR="00FA45D6" w:rsidRPr="005771D2" w:rsidRDefault="00FA45D6" w:rsidP="005E666A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бъём выполняемых работ и место выполнения работ – в строгом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</w:t>
      </w:r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Заданием, являющимся приложением к Документации по запросу предложений.</w:t>
      </w:r>
    </w:p>
    <w:p w:rsidR="00FA45D6" w:rsidRDefault="00FA45D6" w:rsidP="00FA45D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(цена лота)- </w:t>
      </w:r>
      <w:r w:rsidR="008C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499 070</w:t>
      </w:r>
      <w:r w:rsidRPr="00FA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8C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четыреста девяносто девять тысяч семьдесят</w:t>
      </w:r>
      <w:r w:rsidRPr="00FA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 00 коп</w:t>
      </w:r>
      <w:proofErr w:type="gramStart"/>
      <w:r w:rsidRPr="00FA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gramEnd"/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НДС 18%.В случае если в Заявке участника указана стоимость продукции без НДС, то Закупочная комиссия с целью </w:t>
      </w:r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сопоставления ценовых предложений участников будет осуществлять корректировку цены заявки с учетом НДС.</w:t>
      </w:r>
    </w:p>
    <w:p w:rsidR="00924857" w:rsidRPr="00924857" w:rsidRDefault="00FA45D6" w:rsidP="00FA45D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</w:t>
      </w:r>
      <w:r w:rsidR="00924857" w:rsidRPr="00924857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</w:t>
      </w:r>
    </w:p>
    <w:p w:rsidR="00FA45D6" w:rsidRPr="00D91ADB" w:rsidRDefault="00924857" w:rsidP="00924857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начала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5 дней со дня заключения договора.</w:t>
      </w:r>
    </w:p>
    <w:p w:rsidR="00924857" w:rsidRPr="00D91ADB" w:rsidRDefault="00924857" w:rsidP="00924857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строительно-монтажных, пуско-наладочных работ – не позднее </w:t>
      </w:r>
      <w:r w:rsidR="008C04F8"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26.12.2018 года</w:t>
      </w: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857" w:rsidRDefault="00924857" w:rsidP="00924857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работ по договору – не позднее </w:t>
      </w:r>
      <w:r w:rsidR="008C04F8"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31.12.2022г</w:t>
      </w:r>
      <w:r w:rsidRPr="009248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857" w:rsidRPr="00924857" w:rsidRDefault="00924857" w:rsidP="00924857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оплаты:</w:t>
      </w:r>
    </w:p>
    <w:p w:rsidR="00924857" w:rsidRDefault="008C04F8" w:rsidP="00924857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8C04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Заказчик оплачивает выполненные работы путём перечисления на счет Подрядчика денежных средств в течение 20 рабочих дней со дня подписания полномочными представителями Сторон Акта сдачи-приемки выполненных работ (форма № КС-2) и Справки о стоимости выполненных работ и затрат (форма № КС-3), в соответствии с Календарным планом выполнения работ  на основании счета/счет-фактуры, выставленной Подрядчиком.</w:t>
      </w:r>
      <w:proofErr w:type="gramEnd"/>
    </w:p>
    <w:p w:rsidR="005771D2" w:rsidRPr="00924857" w:rsidRDefault="005771D2" w:rsidP="00DC28B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Участником закупки может быть любой поставщик. Претендовать на победу в </w:t>
      </w:r>
      <w:r w:rsidRPr="00F0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</w:t>
      </w:r>
      <w:r w:rsidR="00924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</w:t>
      </w:r>
      <w:r w:rsidRPr="00F0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2270" w:rsidRPr="00F0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="00924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E52270" w:rsidRPr="00F0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предложений</w:t>
      </w:r>
      <w:r w:rsidRPr="00F01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Участник, отвечающий следующим требованиям: </w:t>
      </w:r>
    </w:p>
    <w:p w:rsidR="00281528" w:rsidRDefault="00281528" w:rsidP="0028152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обладать гражданской правоспособностью для заключения и исполнения Договора (т.е.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торгов) (физическое лицо – обладать дееспособностью в полном объеме для заключения и исполнения Договора);</w:t>
      </w:r>
    </w:p>
    <w:p w:rsidR="00281528" w:rsidRDefault="00281528" w:rsidP="0028152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находиться в процессе ликвидации; должно отсутствовать вступившее в законную силу решение арбитражного суда о признании Участника запроса предложений банкротом и об открытии конкурсного производства; на имущество Участника запроса предложений, в части существенной для исполнения Договора, не должен быть наложен арест; экономическая деятельность Участника запроса предложений не должна быть приостановлена (для юридического лица, индивидуального предпринимателя);</w:t>
      </w:r>
      <w:proofErr w:type="gramEnd"/>
    </w:p>
    <w:p w:rsidR="00281528" w:rsidRDefault="00281528" w:rsidP="0028152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N44-ФЗ от 5 апреля 2013 г.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281528" w:rsidRDefault="00281528" w:rsidP="0028152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обладать необходимыми профессиональными знаниями и навыками, управленческой компетентностью и иметь все необходимые ресурсные возможности (финансовые, материально-технические, производственные, трудовые);</w:t>
      </w:r>
    </w:p>
    <w:p w:rsidR="00F017A4" w:rsidRPr="00281528" w:rsidRDefault="00281528" w:rsidP="0028152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>у участника должен отсутствовать за последние 2 года с момента вскрытия конвертов негативный опыт работы с АО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r w:rsidRPr="002815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Волги».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аналогичных предмету настоящей документации.</w:t>
      </w:r>
    </w:p>
    <w:p w:rsidR="00F017A4" w:rsidRPr="003A2217" w:rsidRDefault="00F017A4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</w:t>
      </w:r>
      <w:r w:rsid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ора, а также описание процедуры</w:t>
      </w:r>
      <w:r w:rsidRPr="005E6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открытого запроса предложений</w:t>
      </w:r>
      <w:r w:rsidRP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 в документации </w:t>
      </w:r>
      <w:r w:rsidR="00281528" w:rsidRP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</w:t>
      </w:r>
      <w:r w:rsidR="00281528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</w:t>
      </w:r>
      <w:r w:rsidR="00281528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528" w:rsidRDefault="00281528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запросе предложений необходимо своевременно</w:t>
      </w: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заявку, подготовленную в соответствии с требованиями к составу заявок и порядку их оформления, изложенными в Документации по запросу предложений.</w:t>
      </w:r>
    </w:p>
    <w:p w:rsidR="00281528" w:rsidRDefault="00281528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должна быть подана в следующем порядке: размещена на электронной торговой площадке </w:t>
      </w:r>
      <w:hyperlink r:id="rId16" w:history="1"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otc</w:t>
        </w:r>
        <w:proofErr w:type="spellEnd"/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tender</w:t>
        </w:r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52270" w:rsidRPr="00281528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и регламентами её функционирования в </w:t>
      </w: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до 10-00 (московского времени) </w:t>
      </w:r>
      <w:r w:rsidR="008C04F8"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="003E6A5E"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.11.2018г</w:t>
      </w:r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формате электронного документа, включающего в себя полный комплект документов, запрашиваемых в Доку</w:t>
      </w:r>
      <w:r w:rsidR="008C04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ментации по запросу предложений</w:t>
      </w: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528" w:rsidRDefault="00281528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подача Заявок на отдельные позиции или часть объёма </w:t>
      </w:r>
      <w:proofErr w:type="gramStart"/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общего объема работ.</w:t>
      </w:r>
    </w:p>
    <w:p w:rsidR="00281528" w:rsidRDefault="00281528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заявок Участников должен быть не менее 90 дней со дня окончания подачи Заявок Участников.</w:t>
      </w:r>
    </w:p>
    <w:p w:rsidR="003A1321" w:rsidRPr="005E666A" w:rsidRDefault="003A1321" w:rsidP="003A2217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</w:t>
      </w:r>
      <w:r w:rsidR="003A2217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 предложений</w:t>
      </w: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торгами (конкурсом или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</w:t>
      </w:r>
      <w:r w:rsidR="003A2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дических лиц». Данный 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3A2217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крытый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 предложений</w:t>
      </w:r>
      <w:r w:rsidRPr="00C3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</w:t>
      </w:r>
      <w:r w:rsidR="003A2217"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3A2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 предложений</w:t>
      </w:r>
      <w:r w:rsidRPr="005E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момент, не неся при этом никакой ответственности перед Участниками.</w:t>
      </w:r>
    </w:p>
    <w:p w:rsidR="00281528" w:rsidRDefault="003A1321" w:rsidP="005E666A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Предполагается, что подведение итогов запроса предложений будет осуществлено не позднее </w:t>
      </w:r>
      <w:r w:rsidR="00081265"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="003E6A5E"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</w:t>
      </w:r>
      <w:r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.1</w:t>
      </w:r>
      <w:r w:rsidR="008C04F8"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Pr="003E6A5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.2018г</w:t>
      </w:r>
      <w:bookmarkStart w:id="1" w:name="_GoBack"/>
      <w:bookmarkEnd w:id="1"/>
      <w:r w:rsidRPr="00D91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запроса предложений вправе, при необходимости, изменить данный срок без каких-либо для себя последствий.</w:t>
      </w:r>
    </w:p>
    <w:p w:rsidR="003A1321" w:rsidRDefault="003A1321" w:rsidP="005E666A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рассмотрения предложений участников и подведение итогов: </w:t>
      </w:r>
      <w:r w:rsidR="00E52270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Волги», Россия, 4100</w:t>
      </w:r>
      <w:r w:rsidR="00735CBC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52270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г. Саратов, ул. </w:t>
      </w:r>
      <w:r w:rsidR="00735CBC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Космонавтов</w:t>
      </w:r>
      <w:r w:rsidR="00E52270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735CBC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52270"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321" w:rsidRDefault="003A1321" w:rsidP="005E666A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запроса предложений будет опубликована на официальном </w:t>
      </w:r>
      <w:proofErr w:type="gramStart"/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сфере закупок </w:t>
      </w:r>
      <w:hyperlink r:id="rId17" w:history="1"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52270" w:rsidRPr="003A2217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ЭТП </w:t>
      </w:r>
      <w:hyperlink r:id="rId18" w:history="1"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otc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tender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 и регламентами их функционирования и на сайте Общества </w:t>
      </w:r>
      <w:hyperlink r:id="rId19" w:history="1">
        <w:r w:rsidR="00E52270" w:rsidRPr="003A132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www.energoservis-volgi.ru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«Закупки».</w:t>
      </w:r>
    </w:p>
    <w:p w:rsidR="003A1321" w:rsidRDefault="003A1321" w:rsidP="005E666A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подведения итогов: для определения степени предпочтительности Заявок, которые по результатам рассмотрения по отборочным критериям были признаны Закупочной комиссией соответствующими отборочным требованиям, производится оценочная стадия рассмотрения Заявок по ценовым и неценовым критериям оценки. Оценка производится в баллах, при этом для каждого критерия, в зависимости от его значимости, устанавливается весовой коэффициент. После окончания оценочной стадии, производится расчет интегральной оценки общей предпочтительности Заявок, в соответствии с которым, Закупочная комиссия определяет итоговый ранжир заявок и Победителя закупки. Победителем закупки признается участник, предложивший лучшие условия исполнения Договора.</w:t>
      </w:r>
    </w:p>
    <w:p w:rsidR="003A1321" w:rsidRDefault="003A1321" w:rsidP="005E666A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результатам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предложений между Заказчиком 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Победителем запроса предложений будет заключен не ранее </w:t>
      </w:r>
      <w:r w:rsidRPr="003A2217">
        <w:rPr>
          <w:rFonts w:ascii="Times New Roman" w:eastAsia="Times New Roman" w:hAnsi="Times New Roman" w:cs="Times New Roman"/>
          <w:sz w:val="24"/>
          <w:szCs w:val="24"/>
          <w:shd w:val="clear" w:color="auto" w:fill="C6D9F1" w:themeFill="text2" w:themeFillTint="33"/>
          <w:lang w:eastAsia="ru-RU"/>
        </w:rPr>
        <w:t xml:space="preserve">10 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и не позднее </w:t>
      </w:r>
      <w:r w:rsidRPr="003A2217">
        <w:rPr>
          <w:rFonts w:ascii="Times New Roman" w:eastAsia="Times New Roman" w:hAnsi="Times New Roman" w:cs="Times New Roman"/>
          <w:sz w:val="24"/>
          <w:szCs w:val="24"/>
          <w:shd w:val="clear" w:color="auto" w:fill="C6D9F1" w:themeFill="text2" w:themeFillTint="33"/>
          <w:lang w:eastAsia="ru-RU"/>
        </w:rPr>
        <w:t>20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в соответствии со ст.448 ГК РФ на основании протокола об итогах запроса предложений, за исключением случаев, когда действия (бездействие) заказчика при осуществлении закупки обжалуются в антимонопольном органе либо в судебном порядке.</w:t>
      </w:r>
      <w:proofErr w:type="gramEnd"/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указанных случаях договор должен быть заключен в течение </w:t>
      </w:r>
      <w:r w:rsidRPr="003A2217">
        <w:rPr>
          <w:rFonts w:ascii="Times New Roman" w:eastAsia="Times New Roman" w:hAnsi="Times New Roman" w:cs="Times New Roman"/>
          <w:sz w:val="24"/>
          <w:szCs w:val="24"/>
          <w:shd w:val="clear" w:color="auto" w:fill="C6D9F1" w:themeFill="text2" w:themeFillTint="33"/>
          <w:lang w:eastAsia="ru-RU"/>
        </w:rPr>
        <w:t>20</w:t>
      </w:r>
      <w:r w:rsidRPr="003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вступления в силу решения антимонопольного органа или судебного акта, предусматривающего заключение договора.</w:t>
      </w:r>
    </w:p>
    <w:p w:rsidR="003A1321" w:rsidRDefault="003A1321" w:rsidP="003A1321">
      <w:pPr>
        <w:pStyle w:val="a"/>
        <w:numPr>
          <w:ilvl w:val="0"/>
          <w:numId w:val="4"/>
        </w:numPr>
        <w:suppressAutoHyphens w:val="0"/>
        <w:autoSpaceDE w:val="0"/>
        <w:autoSpaceDN w:val="0"/>
        <w:spacing w:before="40" w:line="240" w:lineRule="auto"/>
        <w:ind w:left="0" w:firstLine="709"/>
        <w:contextualSpacing w:val="0"/>
        <w:rPr>
          <w:sz w:val="24"/>
          <w:szCs w:val="24"/>
        </w:rPr>
      </w:pPr>
      <w:r w:rsidRPr="005E666A">
        <w:rPr>
          <w:sz w:val="24"/>
          <w:szCs w:val="24"/>
        </w:rPr>
        <w:t xml:space="preserve">Организатор закупки </w:t>
      </w:r>
      <w:r w:rsidRPr="005E666A">
        <w:rPr>
          <w:b/>
          <w:sz w:val="24"/>
          <w:szCs w:val="24"/>
        </w:rPr>
        <w:t>не планирует</w:t>
      </w:r>
      <w:r w:rsidRPr="005E666A">
        <w:rPr>
          <w:sz w:val="24"/>
          <w:szCs w:val="24"/>
        </w:rPr>
        <w:t xml:space="preserve"> применение преференций к группам участников.</w:t>
      </w:r>
    </w:p>
    <w:sectPr w:rsidR="003A1321" w:rsidSect="00DC28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CB2CC4"/>
    <w:multiLevelType w:val="hybridMultilevel"/>
    <w:tmpl w:val="1DBCFDEA"/>
    <w:lvl w:ilvl="0" w:tplc="27264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3716B0"/>
    <w:multiLevelType w:val="hybridMultilevel"/>
    <w:tmpl w:val="47145E16"/>
    <w:lvl w:ilvl="0" w:tplc="27264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0A6CC0"/>
    <w:multiLevelType w:val="hybridMultilevel"/>
    <w:tmpl w:val="AC4AFE5E"/>
    <w:lvl w:ilvl="0" w:tplc="27264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967CD8"/>
    <w:multiLevelType w:val="hybridMultilevel"/>
    <w:tmpl w:val="77E403A8"/>
    <w:lvl w:ilvl="0" w:tplc="27264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0ED2"/>
    <w:multiLevelType w:val="hybridMultilevel"/>
    <w:tmpl w:val="85B01CEE"/>
    <w:lvl w:ilvl="0" w:tplc="2B888D78">
      <w:start w:val="1"/>
      <w:numFmt w:val="decimal"/>
      <w:lvlText w:val="%1."/>
      <w:lvlJc w:val="left"/>
      <w:pPr>
        <w:ind w:left="149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7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8">
    <w:nsid w:val="484B2338"/>
    <w:multiLevelType w:val="hybridMultilevel"/>
    <w:tmpl w:val="9954984C"/>
    <w:lvl w:ilvl="0" w:tplc="2726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7493F"/>
    <w:multiLevelType w:val="hybridMultilevel"/>
    <w:tmpl w:val="98DC9DE6"/>
    <w:lvl w:ilvl="0" w:tplc="27264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E185F43"/>
    <w:multiLevelType w:val="hybridMultilevel"/>
    <w:tmpl w:val="CD0E4B6C"/>
    <w:lvl w:ilvl="0" w:tplc="2B888D78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063F1"/>
    <w:rsid w:val="00012801"/>
    <w:rsid w:val="00050BA3"/>
    <w:rsid w:val="00081265"/>
    <w:rsid w:val="0009690C"/>
    <w:rsid w:val="000C4DC5"/>
    <w:rsid w:val="00150668"/>
    <w:rsid w:val="001676E7"/>
    <w:rsid w:val="001D15C8"/>
    <w:rsid w:val="001F3DF9"/>
    <w:rsid w:val="001F43F9"/>
    <w:rsid w:val="00281528"/>
    <w:rsid w:val="002B2223"/>
    <w:rsid w:val="002B3E9F"/>
    <w:rsid w:val="002D2E74"/>
    <w:rsid w:val="00356D48"/>
    <w:rsid w:val="00360F3C"/>
    <w:rsid w:val="003A1321"/>
    <w:rsid w:val="003A2217"/>
    <w:rsid w:val="003A5F78"/>
    <w:rsid w:val="003C0A34"/>
    <w:rsid w:val="003E26EF"/>
    <w:rsid w:val="003E6A5E"/>
    <w:rsid w:val="004422A5"/>
    <w:rsid w:val="00474D32"/>
    <w:rsid w:val="005314F4"/>
    <w:rsid w:val="00570210"/>
    <w:rsid w:val="005771D2"/>
    <w:rsid w:val="00581470"/>
    <w:rsid w:val="005E4F8D"/>
    <w:rsid w:val="005E666A"/>
    <w:rsid w:val="006C5E0E"/>
    <w:rsid w:val="006C6D5D"/>
    <w:rsid w:val="00735CBC"/>
    <w:rsid w:val="00772DAB"/>
    <w:rsid w:val="00795051"/>
    <w:rsid w:val="007D2B64"/>
    <w:rsid w:val="008A1FAB"/>
    <w:rsid w:val="008C04F8"/>
    <w:rsid w:val="008C2A7A"/>
    <w:rsid w:val="00922D88"/>
    <w:rsid w:val="00924857"/>
    <w:rsid w:val="00932248"/>
    <w:rsid w:val="009638A3"/>
    <w:rsid w:val="009B7B4B"/>
    <w:rsid w:val="009F67A2"/>
    <w:rsid w:val="00A719DE"/>
    <w:rsid w:val="00A935A6"/>
    <w:rsid w:val="00A95A35"/>
    <w:rsid w:val="00BF7AE9"/>
    <w:rsid w:val="00C17E50"/>
    <w:rsid w:val="00C369C0"/>
    <w:rsid w:val="00C522C7"/>
    <w:rsid w:val="00C7736A"/>
    <w:rsid w:val="00CF0162"/>
    <w:rsid w:val="00D138C8"/>
    <w:rsid w:val="00D572C8"/>
    <w:rsid w:val="00D91ADB"/>
    <w:rsid w:val="00DB2C58"/>
    <w:rsid w:val="00DC28B2"/>
    <w:rsid w:val="00E05E23"/>
    <w:rsid w:val="00E3600D"/>
    <w:rsid w:val="00E52270"/>
    <w:rsid w:val="00F017A4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  <w:style w:type="character" w:styleId="a9">
    <w:name w:val="Hyperlink"/>
    <w:basedOn w:val="a1"/>
    <w:uiPriority w:val="99"/>
    <w:unhideWhenUsed/>
    <w:rsid w:val="005771D2"/>
    <w:rPr>
      <w:color w:val="0000FF" w:themeColor="hyperlink"/>
      <w:u w:val="single"/>
    </w:rPr>
  </w:style>
  <w:style w:type="character" w:customStyle="1" w:styleId="aa">
    <w:name w:val="комментарий"/>
    <w:uiPriority w:val="99"/>
    <w:rsid w:val="00DC28B2"/>
    <w:rPr>
      <w:rFonts w:cs="Times New Roman"/>
      <w:b/>
      <w:bCs/>
      <w:i/>
      <w:iCs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  <w:style w:type="character" w:styleId="a9">
    <w:name w:val="Hyperlink"/>
    <w:basedOn w:val="a1"/>
    <w:uiPriority w:val="99"/>
    <w:unhideWhenUsed/>
    <w:rsid w:val="005771D2"/>
    <w:rPr>
      <w:color w:val="0000FF" w:themeColor="hyperlink"/>
      <w:u w:val="single"/>
    </w:rPr>
  </w:style>
  <w:style w:type="character" w:customStyle="1" w:styleId="aa">
    <w:name w:val="комментарий"/>
    <w:uiPriority w:val="99"/>
    <w:rsid w:val="00DC28B2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ervis-volgi.ru/" TargetMode="External"/><Relationship Id="rId13" Type="http://schemas.openxmlformats.org/officeDocument/2006/relationships/hyperlink" Target="http://www.energoservis-volgi.ru/" TargetMode="External"/><Relationship Id="rId18" Type="http://schemas.openxmlformats.org/officeDocument/2006/relationships/hyperlink" Target="http://www.otc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otc-tender.ru" TargetMode="External"/><Relationship Id="rId1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tc-tend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.zubihin@mrsk-volgi.ru" TargetMode="External"/><Relationship Id="rId10" Type="http://schemas.openxmlformats.org/officeDocument/2006/relationships/hyperlink" Target="http://www.otc-tender.ru" TargetMode="External"/><Relationship Id="rId19" Type="http://schemas.openxmlformats.org/officeDocument/2006/relationships/hyperlink" Target="http://www.energoservis-vol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-tender.ru" TargetMode="External"/><Relationship Id="rId14" Type="http://schemas.openxmlformats.org/officeDocument/2006/relationships/hyperlink" Target="mailto:sa.zubihin@mrsk-vol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9730-803E-428F-B03D-838F2405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Лавренченко Константин Игоревич</dc:creator>
  <cp:lastModifiedBy>Зубихин Сергей Анатольевич</cp:lastModifiedBy>
  <cp:revision>7</cp:revision>
  <dcterms:created xsi:type="dcterms:W3CDTF">2018-10-26T08:56:00Z</dcterms:created>
  <dcterms:modified xsi:type="dcterms:W3CDTF">2018-11-19T07:59:00Z</dcterms:modified>
</cp:coreProperties>
</file>